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FAA69">
      <w:pPr>
        <w:ind w:left="0" w:leftChars="0" w:firstLine="0" w:firstLineChars="0"/>
        <w:rPr>
          <w:rFonts w:hint="default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附件3</w:t>
      </w:r>
    </w:p>
    <w:p w14:paraId="743BA003">
      <w:pPr>
        <w:spacing w:after="0" w:line="64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梅州市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年初中学业水平</w:t>
      </w:r>
    </w:p>
    <w:p w14:paraId="7562AED9">
      <w:pPr>
        <w:spacing w:after="240" w:afterLines="100" w:line="64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实验操作考试试题及实验器材目录</w:t>
      </w:r>
    </w:p>
    <w:p w14:paraId="693C56B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0" w:leftChars="0" w:right="152" w:firstLine="468" w:firstLineChars="195"/>
        <w:textAlignment w:val="auto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实验操作考试满分</w:t>
      </w:r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</w:rPr>
        <w:t>10</w:t>
      </w:r>
      <w:r>
        <w:rPr>
          <w:rFonts w:hint="eastAsia" w:ascii="黑体" w:hAnsi="黑体" w:eastAsia="黑体" w:cs="黑体"/>
          <w:sz w:val="24"/>
          <w:szCs w:val="24"/>
          <w:highlight w:val="none"/>
        </w:rPr>
        <w:t>分，考试时间</w:t>
      </w:r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</w:rPr>
        <w:t>10</w:t>
      </w:r>
      <w:r>
        <w:rPr>
          <w:rFonts w:hint="eastAsia" w:ascii="黑体" w:hAnsi="黑体" w:eastAsia="黑体" w:cs="黑体"/>
          <w:sz w:val="24"/>
          <w:szCs w:val="24"/>
          <w:highlight w:val="none"/>
        </w:rPr>
        <w:t xml:space="preserve">分钟。考生须独立完成实验操作考试。 </w:t>
      </w:r>
    </w:p>
    <w:p w14:paraId="1550F38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0" w:leftChars="0" w:right="152" w:firstLine="468" w:firstLineChars="195"/>
        <w:textAlignment w:val="auto"/>
        <w:rPr>
          <w:rFonts w:hint="eastAsia" w:ascii="黑体" w:hAnsi="黑体" w:eastAsia="黑体" w:cs="黑体"/>
          <w:sz w:val="24"/>
          <w:szCs w:val="24"/>
          <w:highlight w:val="none"/>
        </w:rPr>
      </w:pPr>
    </w:p>
    <w:p w14:paraId="1B67F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159"/>
        <w:jc w:val="both"/>
        <w:textAlignment w:val="auto"/>
        <w:rPr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  <w:t>注意事项：</w:t>
      </w:r>
      <w:r>
        <w:rPr>
          <w:rFonts w:ascii="楷体" w:hAnsi="楷体" w:eastAsia="楷体" w:cs="楷体"/>
          <w:sz w:val="24"/>
          <w:szCs w:val="24"/>
          <w:highlight w:val="none"/>
        </w:rPr>
        <w:t>1.进入试室前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>须穿好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校服或者白大褂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。 </w:t>
      </w:r>
    </w:p>
    <w:p w14:paraId="37FE4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77" w:right="159" w:firstLine="720" w:firstLineChars="300"/>
        <w:jc w:val="both"/>
        <w:textAlignment w:val="auto"/>
        <w:rPr>
          <w:sz w:val="24"/>
          <w:szCs w:val="24"/>
          <w:highlight w:val="none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2.考试开始前，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按指引在平板上完成身份验证。 </w:t>
      </w:r>
    </w:p>
    <w:p w14:paraId="2EA92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97" w:leftChars="570" w:right="159" w:firstLine="0" w:firstLineChars="0"/>
        <w:jc w:val="both"/>
        <w:textAlignment w:val="auto"/>
        <w:rPr>
          <w:sz w:val="24"/>
          <w:szCs w:val="24"/>
          <w:highlight w:val="none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3.考试开始前或考试过程中，如有实验用品缺失或损坏，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考生应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立即报告监考老师。监考老师只负责更换器材，不回答器材是否能正常工作及与考试有关的问题。更换器材时，不可整套更换。 </w:t>
      </w:r>
    </w:p>
    <w:p w14:paraId="4B3A1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97" w:leftChars="570" w:right="159" w:firstLine="0" w:firstLineChars="0"/>
        <w:jc w:val="both"/>
        <w:textAlignment w:val="auto"/>
        <w:rPr>
          <w:sz w:val="24"/>
          <w:szCs w:val="24"/>
          <w:highlight w:val="none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4.若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>以实验器材故障为由申请重考，经工作人员现场检测，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确认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器材有故障且非考生人为导致，方可按相关规定重考。 </w:t>
      </w:r>
    </w:p>
    <w:p w14:paraId="74D5F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95" w:leftChars="569" w:right="159" w:firstLine="0" w:firstLineChars="0"/>
        <w:jc w:val="both"/>
        <w:textAlignment w:val="auto"/>
        <w:rPr>
          <w:rFonts w:ascii="楷体" w:hAnsi="楷体" w:eastAsia="楷体" w:cs="楷体"/>
          <w:sz w:val="28"/>
          <w:szCs w:val="28"/>
          <w:highlight w:val="none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5.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>实验操作完成后不得提前离开座位，待考试结束后，按统一指令离开试室。</w:t>
      </w:r>
      <w:r>
        <w:rPr>
          <w:rFonts w:ascii="楷体" w:hAnsi="楷体" w:eastAsia="楷体" w:cs="楷体"/>
          <w:sz w:val="28"/>
          <w:szCs w:val="28"/>
          <w:highlight w:val="none"/>
        </w:rPr>
        <w:t xml:space="preserve"> </w:t>
      </w:r>
    </w:p>
    <w:p w14:paraId="3555C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95" w:leftChars="569" w:right="159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497649D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val="en-US" w:eastAsia="zh-CN"/>
        </w:rPr>
        <w:t>观察人体的肌肉组织</w:t>
      </w:r>
    </w:p>
    <w:p w14:paraId="790474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89" w:leftChars="0" w:right="152" w:rightChars="0" w:hanging="1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实验内容：</w:t>
      </w:r>
    </w:p>
    <w:p w14:paraId="442023E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（一）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使用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显微镜观察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 w:bidi="ar-SA"/>
        </w:rPr>
        <w:t>人体</w:t>
      </w:r>
      <w:r>
        <w:rPr>
          <w:rFonts w:hint="eastAsia" w:eastAsia="仿宋" w:cs="Times New Roman"/>
          <w:kern w:val="0"/>
          <w:sz w:val="24"/>
          <w:szCs w:val="24"/>
          <w:lang w:val="en-US" w:eastAsia="zh-CN" w:bidi="ar-SA"/>
        </w:rPr>
        <w:t>肌肉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永久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玻片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。</w:t>
      </w:r>
    </w:p>
    <w:p w14:paraId="2B8D6F7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（二）整理器材。</w:t>
      </w:r>
    </w:p>
    <w:p w14:paraId="10BC5F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89" w:leftChars="0" w:right="152" w:rightChars="0" w:hanging="1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实验用品</w:t>
      </w:r>
    </w:p>
    <w:p w14:paraId="2DB0508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一台显微镜，人体</w:t>
      </w:r>
      <w:r>
        <w:rPr>
          <w:rFonts w:hint="eastAsia" w:eastAsia="仿宋" w:cs="Times New Roman"/>
          <w:kern w:val="0"/>
          <w:sz w:val="24"/>
          <w:szCs w:val="24"/>
          <w:lang w:val="en-US" w:eastAsia="zh-CN" w:bidi="ar-SA"/>
        </w:rPr>
        <w:t>肌肉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组织的永久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玻片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，擦镜纸，一张抹布。</w:t>
      </w:r>
    </w:p>
    <w:p w14:paraId="418DF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89" w:leftChars="0" w:right="152" w:rightChars="0" w:hanging="1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  <w:lang w:eastAsia="zh-CN"/>
        </w:rPr>
        <w:t>三、实验要求</w:t>
      </w:r>
    </w:p>
    <w:tbl>
      <w:tblPr>
        <w:tblStyle w:val="8"/>
        <w:tblW w:w="0" w:type="auto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851"/>
      </w:tblGrid>
      <w:tr w14:paraId="1C8E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03" w:type="dxa"/>
            <w:vAlign w:val="center"/>
          </w:tcPr>
          <w:p w14:paraId="121B78F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内容</w:t>
            </w:r>
          </w:p>
        </w:tc>
        <w:tc>
          <w:tcPr>
            <w:tcW w:w="5943" w:type="dxa"/>
            <w:vAlign w:val="center"/>
          </w:tcPr>
          <w:p w14:paraId="3F1C6C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92" w:right="152" w:rightChars="0" w:hanging="1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要求</w:t>
            </w:r>
          </w:p>
        </w:tc>
      </w:tr>
      <w:tr w14:paraId="7577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803" w:type="dxa"/>
            <w:vAlign w:val="center"/>
          </w:tcPr>
          <w:p w14:paraId="6725F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152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显微镜观察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肌肉组织</w:t>
            </w:r>
          </w:p>
        </w:tc>
        <w:tc>
          <w:tcPr>
            <w:tcW w:w="5943" w:type="dxa"/>
            <w:vAlign w:val="center"/>
          </w:tcPr>
          <w:p w14:paraId="18BCC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152" w:rightChars="0" w:firstLine="0" w:firstLineChars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规范使用显微镜观察人体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肌肉组织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永久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玻片</w:t>
            </w:r>
          </w:p>
        </w:tc>
      </w:tr>
      <w:tr w14:paraId="5A50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803" w:type="dxa"/>
            <w:vAlign w:val="center"/>
          </w:tcPr>
          <w:p w14:paraId="3FE36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152" w:righ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实验记录</w:t>
            </w:r>
          </w:p>
        </w:tc>
        <w:tc>
          <w:tcPr>
            <w:tcW w:w="5943" w:type="dxa"/>
            <w:vAlign w:val="center"/>
          </w:tcPr>
          <w:p w14:paraId="5148A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152" w:rightChars="0" w:firstLine="0" w:firstLineChars="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当显微镜的电子目镜可清晰观察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组织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时，请在平板上进行截图并上传。</w:t>
            </w:r>
          </w:p>
        </w:tc>
      </w:tr>
      <w:tr w14:paraId="4994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803" w:type="dxa"/>
            <w:vAlign w:val="center"/>
          </w:tcPr>
          <w:p w14:paraId="3B848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152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观察现象并完成答题</w:t>
            </w:r>
          </w:p>
        </w:tc>
        <w:tc>
          <w:tcPr>
            <w:tcW w:w="5943" w:type="dxa"/>
            <w:vAlign w:val="center"/>
          </w:tcPr>
          <w:p w14:paraId="3D67C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152" w:rightChars="0" w:firstLine="0" w:firstLineChars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观察实验现象,将所选答案输入平板。</w:t>
            </w:r>
          </w:p>
        </w:tc>
      </w:tr>
      <w:tr w14:paraId="7C93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03" w:type="dxa"/>
            <w:vAlign w:val="center"/>
          </w:tcPr>
          <w:p w14:paraId="5BF3B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152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整理器材</w:t>
            </w:r>
          </w:p>
        </w:tc>
        <w:tc>
          <w:tcPr>
            <w:tcW w:w="5943" w:type="dxa"/>
            <w:vAlign w:val="center"/>
          </w:tcPr>
          <w:p w14:paraId="329B2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152" w:rightChars="0" w:firstLine="0" w:firstLineChars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取下永久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玻片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、显微镜复原、整理实验台</w:t>
            </w:r>
          </w:p>
        </w:tc>
      </w:tr>
    </w:tbl>
    <w:p w14:paraId="43CC4E25">
      <w:pP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</w:pPr>
    </w:p>
    <w:p w14:paraId="16D6D305">
      <w:pPr>
        <w:ind w:left="0" w:leftChars="0" w:firstLine="0" w:firstLineChars="0"/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</w:pPr>
    </w:p>
    <w:p w14:paraId="51B35F2B">
      <w:pPr>
        <w:ind w:left="0" w:leftChars="0" w:firstLine="0" w:firstLineChars="0"/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</w:pPr>
    </w:p>
    <w:p w14:paraId="3E46995E">
      <w:pPr>
        <w:ind w:left="0" w:leftChars="0" w:firstLine="0" w:firstLineChars="0"/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</w:pPr>
    </w:p>
    <w:p w14:paraId="0EB9FA61">
      <w:pPr>
        <w:ind w:left="0" w:leftChars="0" w:firstLine="0" w:firstLineChars="0"/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</w:pPr>
    </w:p>
    <w:p w14:paraId="2EBA9F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</w:rPr>
      </w:pPr>
      <w:r>
        <w:rPr>
          <w:rFonts w:hint="default" w:ascii="Times New Roman" w:hAnsi="Times New Roman" w:eastAsia="仿宋" w:cs="Times New Roman"/>
          <w:b w:val="0"/>
          <w:bCs w:val="0"/>
          <w:lang w:eastAsia="zh-CN"/>
        </w:rPr>
        <w:t>附</w:t>
      </w:r>
      <w:r>
        <w:rPr>
          <w:rFonts w:hint="default" w:ascii="Times New Roman" w:hAnsi="Times New Roman" w:eastAsia="仿宋" w:cs="Times New Roman"/>
          <w:b w:val="0"/>
          <w:bCs w:val="0"/>
        </w:rPr>
        <w:t>1</w:t>
      </w:r>
    </w:p>
    <w:p w14:paraId="7C55046A">
      <w:pPr>
        <w:pStyle w:val="2"/>
        <w:spacing w:before="0" w:after="0"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  <w:t>“观察人体的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肌肉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  <w:t>组织”评价要求</w:t>
      </w:r>
    </w:p>
    <w:tbl>
      <w:tblPr>
        <w:tblStyle w:val="8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7564"/>
      </w:tblGrid>
      <w:tr w14:paraId="3460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816" w:type="dxa"/>
            <w:gridSpan w:val="2"/>
            <w:vAlign w:val="center"/>
          </w:tcPr>
          <w:p w14:paraId="25601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评价要点</w:t>
            </w:r>
          </w:p>
        </w:tc>
      </w:tr>
      <w:tr w14:paraId="0178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77BD2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  <w:t>准备器材</w:t>
            </w:r>
          </w:p>
        </w:tc>
        <w:tc>
          <w:tcPr>
            <w:tcW w:w="7564" w:type="dxa"/>
            <w:vAlign w:val="center"/>
          </w:tcPr>
          <w:p w14:paraId="6D8CD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1.检查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器材是否齐全。</w:t>
            </w:r>
          </w:p>
        </w:tc>
      </w:tr>
      <w:tr w14:paraId="150E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 w14:paraId="20C59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  <w:t>实验操作</w:t>
            </w:r>
          </w:p>
        </w:tc>
        <w:tc>
          <w:tcPr>
            <w:tcW w:w="7564" w:type="dxa"/>
            <w:shd w:val="clear" w:color="auto" w:fill="auto"/>
            <w:vAlign w:val="center"/>
          </w:tcPr>
          <w:p w14:paraId="4BAED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.一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手握镜臂，一手托镜座，将显微镜放在实验台的指定区域内，要轻放、放稳。</w:t>
            </w:r>
          </w:p>
        </w:tc>
      </w:tr>
      <w:tr w14:paraId="6065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 w14:paraId="404C5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564" w:type="dxa"/>
            <w:shd w:val="clear" w:color="auto" w:fill="auto"/>
            <w:vAlign w:val="center"/>
          </w:tcPr>
          <w:p w14:paraId="77F1F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.转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动转换器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使低倍物镜对准通光孔。 </w:t>
            </w:r>
          </w:p>
        </w:tc>
      </w:tr>
      <w:tr w14:paraId="6E48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 w14:paraId="38BB4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564" w:type="dxa"/>
            <w:vAlign w:val="center"/>
          </w:tcPr>
          <w:p w14:paraId="199DA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.如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果此时目镜内视野灰暗，应该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选）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，调至目镜内看到明亮视野。</w:t>
            </w:r>
          </w:p>
          <w:p w14:paraId="3BB48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A.移动显微镜位置寻找适宜光源  </w:t>
            </w:r>
          </w:p>
          <w:p w14:paraId="27220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B.转动反光镜使凹面镜朝向适宜光源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30D5D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C.转动遮光器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使最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光圈对准通光孔</w:t>
            </w:r>
          </w:p>
        </w:tc>
      </w:tr>
      <w:tr w14:paraId="33FF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 w14:paraId="6BAF9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564" w:type="dxa"/>
            <w:vAlign w:val="center"/>
          </w:tcPr>
          <w:p w14:paraId="3B3122AC">
            <w:pPr>
              <w:keepNext w:val="0"/>
              <w:keepLines w:val="0"/>
              <w:widowControl/>
              <w:suppressLineNumbers w:val="0"/>
              <w:tabs>
                <w:tab w:val="left" w:pos="419"/>
              </w:tabs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.把永久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玻片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放在载物台上，用压片夹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固定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 w14:paraId="3941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 w14:paraId="590F0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564" w:type="dxa"/>
            <w:vAlign w:val="center"/>
          </w:tcPr>
          <w:p w14:paraId="671E6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.先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转动粗准焦螺旋，使镜简缓慢下降，直到物镜接近玻片标本为止；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反方向转动粗准焦螺旋，使镜筒缓缓上升，直至看到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组织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的结构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为止，需要时转动细准焦螺旋使物像更清晰。</w:t>
            </w:r>
          </w:p>
        </w:tc>
      </w:tr>
      <w:tr w14:paraId="50B1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 w14:paraId="5E555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564" w:type="dxa"/>
            <w:vAlign w:val="center"/>
          </w:tcPr>
          <w:p w14:paraId="143FE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.在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平板上截取清晰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的肌肉组织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图像，并上传。</w:t>
            </w:r>
          </w:p>
        </w:tc>
      </w:tr>
      <w:tr w14:paraId="79C5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1252" w:type="dxa"/>
            <w:vAlign w:val="center"/>
          </w:tcPr>
          <w:p w14:paraId="2F4B5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  <w:t>实验记录</w:t>
            </w:r>
          </w:p>
        </w:tc>
        <w:tc>
          <w:tcPr>
            <w:tcW w:w="7564" w:type="dxa"/>
            <w:vAlign w:val="center"/>
          </w:tcPr>
          <w:p w14:paraId="661265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beforeAutospacing="0" w:after="157" w:afterLines="5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cs="Arial" w:asciiTheme="minorEastAsia" w:hAnsi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8.结合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实验观察结果，下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列四张图像中，______（单选）是肌肉组织。</w:t>
            </w:r>
          </w:p>
          <w:p w14:paraId="006610B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beforeAutospacing="0" w:after="157" w:afterLines="5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eastAsia" w:cs="Arial" w:asciiTheme="minorEastAsia" w:hAnsi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Arial" w:asciiTheme="minorEastAsia" w:hAnsi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28395" cy="751840"/>
                  <wp:effectExtent l="0" t="0" r="14605" b="10160"/>
                  <wp:docPr id="6" name="图片 4" descr="veer-16471099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veer-16471099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grayscl/>
                            <a:lum bright="-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Arial" w:asciiTheme="minorEastAsia" w:hAnsi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cs="Arial" w:asciiTheme="minorEastAsia" w:hAnsi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23315" cy="748665"/>
                  <wp:effectExtent l="0" t="0" r="635" b="13335"/>
                  <wp:docPr id="7" name="图片 5" descr="未命名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未命名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lum bright="12000" contrast="-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D31A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beforeAutospacing="0" w:after="157" w:afterLines="50" w:afterAutospacing="0" w:line="240" w:lineRule="auto"/>
              <w:ind w:left="0" w:right="0" w:firstLine="1440" w:firstLineChars="600"/>
              <w:jc w:val="both"/>
              <w:textAlignment w:val="baseline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B</w:t>
            </w:r>
          </w:p>
          <w:p w14:paraId="1581A88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beforeAutospacing="0" w:after="157" w:afterLines="5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eastAsia" w:cs="Arial" w:asciiTheme="minorEastAsia" w:hAnsi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Arial" w:asciiTheme="minorEastAsia" w:hAnsi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41730" cy="760095"/>
                  <wp:effectExtent l="0" t="0" r="1270" b="1905"/>
                  <wp:docPr id="8" name="图片 15" descr="未命名_副本f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5" descr="未命名_副本fj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Arial" w:asciiTheme="minorEastAsia" w:hAnsi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cs="Arial" w:asciiTheme="minorEastAsia" w:hAnsiTheme="minorEastAsia"/>
                <w:snapToGrid w:val="0"/>
                <w:color w:val="auto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28395" cy="751840"/>
                  <wp:effectExtent l="0" t="0" r="14605" b="10160"/>
                  <wp:docPr id="9" name="图片 23" descr="未命名_副本udiy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3" descr="未命名_副本udiy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lum bright="-6000"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71DD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beforeAutospacing="0" w:after="157" w:afterLines="50" w:afterAutospacing="0" w:line="240" w:lineRule="auto"/>
              <w:ind w:left="0" w:right="0" w:firstLine="1440" w:firstLineChars="6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D</w:t>
            </w:r>
          </w:p>
        </w:tc>
      </w:tr>
      <w:tr w14:paraId="0F5B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52" w:type="dxa"/>
            <w:vMerge w:val="restart"/>
            <w:vAlign w:val="center"/>
          </w:tcPr>
          <w:p w14:paraId="286426FE">
            <w:pPr>
              <w:keepNext w:val="0"/>
              <w:keepLines w:val="0"/>
              <w:widowControl/>
              <w:suppressLineNumbers w:val="0"/>
              <w:tabs>
                <w:tab w:val="left" w:pos="367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  <w:t>实验习惯</w:t>
            </w:r>
          </w:p>
        </w:tc>
        <w:tc>
          <w:tcPr>
            <w:tcW w:w="7564" w:type="dxa"/>
            <w:shd w:val="clear" w:color="auto" w:fill="auto"/>
            <w:vAlign w:val="center"/>
          </w:tcPr>
          <w:p w14:paraId="22779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.取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永久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玻片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，显微镜复原。</w:t>
            </w:r>
          </w:p>
        </w:tc>
      </w:tr>
      <w:tr w14:paraId="09E5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52" w:type="dxa"/>
            <w:vMerge w:val="continue"/>
            <w:vAlign w:val="center"/>
          </w:tcPr>
          <w:p w14:paraId="5B89D533">
            <w:pPr>
              <w:keepNext w:val="0"/>
              <w:keepLines w:val="0"/>
              <w:widowControl/>
              <w:suppressLineNumbers w:val="0"/>
              <w:tabs>
                <w:tab w:val="left" w:pos="367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564" w:type="dxa"/>
            <w:shd w:val="clear" w:color="auto" w:fill="auto"/>
            <w:vAlign w:val="center"/>
          </w:tcPr>
          <w:p w14:paraId="7D500177">
            <w:pPr>
              <w:keepNext w:val="0"/>
              <w:keepLines w:val="0"/>
              <w:widowControl/>
              <w:suppressLineNumbers w:val="0"/>
              <w:tabs>
                <w:tab w:val="left" w:pos="447"/>
              </w:tabs>
              <w:spacing w:before="0" w:beforeAutospacing="0" w:after="0" w:afterAutospacing="0" w:line="240" w:lineRule="auto"/>
              <w:ind w:left="0" w:leftChars="0" w:right="0" w:rightChars="0" w:firstLine="0" w:firstLineChars="0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.清洁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玻片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整理实验台。</w:t>
            </w:r>
          </w:p>
        </w:tc>
      </w:tr>
    </w:tbl>
    <w:p w14:paraId="02785471">
      <w:pPr>
        <w:ind w:left="0" w:leftChars="0" w:firstLine="0" w:firstLineChars="0"/>
        <w:rPr>
          <w:rFonts w:hint="default"/>
        </w:rPr>
      </w:pPr>
    </w:p>
    <w:p w14:paraId="48F90F1A">
      <w:pPr>
        <w:ind w:left="10"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24"/>
          <w:szCs w:val="22"/>
          <w:highlight w:val="none"/>
        </w:rPr>
        <w:t>说明：实验操作考试时只向考生提供试题，不提供评价要求。</w:t>
      </w:r>
      <w:r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  <w:t xml:space="preserve"> </w:t>
      </w:r>
    </w:p>
    <w:p w14:paraId="585963F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附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2</w:t>
      </w:r>
    </w:p>
    <w:p w14:paraId="6D4EFAC3">
      <w:pPr>
        <w:rPr>
          <w:rFonts w:hint="eastAsia"/>
          <w:lang w:val="en-US" w:eastAsia="zh-CN"/>
        </w:rPr>
      </w:pPr>
      <w:bookmarkStart w:id="0" w:name="_GoBack"/>
      <w:bookmarkEnd w:id="0"/>
    </w:p>
    <w:p w14:paraId="04CCB92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val="en-US" w:eastAsia="zh-CN"/>
        </w:rPr>
        <w:t>观察人体的肌肉组织”实验用品</w:t>
      </w:r>
    </w:p>
    <w:tbl>
      <w:tblPr>
        <w:tblStyle w:val="9"/>
        <w:tblpPr w:leftFromText="180" w:rightFromText="180" w:vertAnchor="text" w:horzAnchor="page" w:tblpX="1586" w:tblpY="497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2521"/>
        <w:gridCol w:w="771"/>
        <w:gridCol w:w="3877"/>
      </w:tblGrid>
      <w:tr w14:paraId="66D6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81" w:type="dxa"/>
          </w:tcPr>
          <w:p w14:paraId="5B0FC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2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2"/>
              </w:rPr>
              <w:t>用品</w:t>
            </w:r>
          </w:p>
        </w:tc>
        <w:tc>
          <w:tcPr>
            <w:tcW w:w="2521" w:type="dxa"/>
          </w:tcPr>
          <w:p w14:paraId="6FD5A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2"/>
              </w:rPr>
              <w:t>规格</w:t>
            </w:r>
          </w:p>
        </w:tc>
        <w:tc>
          <w:tcPr>
            <w:tcW w:w="771" w:type="dxa"/>
          </w:tcPr>
          <w:p w14:paraId="0CBF0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2"/>
              </w:rPr>
              <w:t>数量</w:t>
            </w:r>
          </w:p>
        </w:tc>
        <w:tc>
          <w:tcPr>
            <w:tcW w:w="3877" w:type="dxa"/>
          </w:tcPr>
          <w:p w14:paraId="3F245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2"/>
              </w:rPr>
              <w:t>备注</w:t>
            </w:r>
          </w:p>
        </w:tc>
      </w:tr>
      <w:tr w14:paraId="5459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81" w:type="dxa"/>
            <w:vAlign w:val="center"/>
          </w:tcPr>
          <w:p w14:paraId="7A696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显微镜+电子目镜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58FEB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en-US"/>
              </w:rPr>
              <w:t>双目或单目</w:t>
            </w:r>
          </w:p>
        </w:tc>
        <w:tc>
          <w:tcPr>
            <w:tcW w:w="771" w:type="dxa"/>
            <w:vAlign w:val="center"/>
          </w:tcPr>
          <w:p w14:paraId="788251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1台</w:t>
            </w:r>
          </w:p>
        </w:tc>
        <w:tc>
          <w:tcPr>
            <w:tcW w:w="3877" w:type="dxa"/>
            <w:vAlign w:val="center"/>
          </w:tcPr>
          <w:p w14:paraId="5A593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两个物镜偏到两旁，镜筒降到最低处，电子目镜安装到显微镜上。</w:t>
            </w:r>
          </w:p>
        </w:tc>
      </w:tr>
      <w:tr w14:paraId="6322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081" w:type="dxa"/>
            <w:vAlign w:val="center"/>
          </w:tcPr>
          <w:p w14:paraId="0481F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肌肉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永久玻片</w:t>
            </w:r>
          </w:p>
        </w:tc>
        <w:tc>
          <w:tcPr>
            <w:tcW w:w="2521" w:type="dxa"/>
            <w:vAlign w:val="center"/>
          </w:tcPr>
          <w:p w14:paraId="09B14B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en-US"/>
              </w:rPr>
              <w:t>平滑肌分离永久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玻片</w:t>
            </w:r>
          </w:p>
        </w:tc>
        <w:tc>
          <w:tcPr>
            <w:tcW w:w="771" w:type="dxa"/>
            <w:vAlign w:val="center"/>
          </w:tcPr>
          <w:p w14:paraId="2D77E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1片</w:t>
            </w:r>
          </w:p>
        </w:tc>
        <w:tc>
          <w:tcPr>
            <w:tcW w:w="3877" w:type="dxa"/>
            <w:vAlign w:val="center"/>
          </w:tcPr>
          <w:p w14:paraId="0AA548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取材于两栖动物或哺乳动物消化管的基层，应能看清大部分被分离成单个的长梭形平滑肌细胞</w:t>
            </w:r>
          </w:p>
        </w:tc>
      </w:tr>
      <w:tr w14:paraId="227A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081" w:type="dxa"/>
            <w:vAlign w:val="center"/>
          </w:tcPr>
          <w:p w14:paraId="2442C0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擦镜纸</w:t>
            </w:r>
          </w:p>
        </w:tc>
        <w:tc>
          <w:tcPr>
            <w:tcW w:w="2521" w:type="dxa"/>
            <w:vAlign w:val="center"/>
          </w:tcPr>
          <w:p w14:paraId="416648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7EC30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1包</w:t>
            </w:r>
          </w:p>
        </w:tc>
        <w:tc>
          <w:tcPr>
            <w:tcW w:w="3877" w:type="dxa"/>
            <w:vAlign w:val="center"/>
          </w:tcPr>
          <w:p w14:paraId="01BBB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</w:tr>
      <w:tr w14:paraId="20FC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1" w:type="dxa"/>
            <w:vAlign w:val="center"/>
          </w:tcPr>
          <w:p w14:paraId="032351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抹布</w:t>
            </w:r>
          </w:p>
        </w:tc>
        <w:tc>
          <w:tcPr>
            <w:tcW w:w="2521" w:type="dxa"/>
            <w:vAlign w:val="center"/>
          </w:tcPr>
          <w:p w14:paraId="3D6B7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5EEE4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1块</w:t>
            </w:r>
          </w:p>
        </w:tc>
        <w:tc>
          <w:tcPr>
            <w:tcW w:w="3877" w:type="dxa"/>
            <w:vAlign w:val="center"/>
          </w:tcPr>
          <w:p w14:paraId="026B0F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</w:p>
        </w:tc>
      </w:tr>
    </w:tbl>
    <w:p w14:paraId="5F9E60BA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757BB1AA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00D9B3AB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428605F8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373D30E3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15A9B2A2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50A8427F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0CA1C353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054A3180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2B856D25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3D1CD257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46F54166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7567463F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3151953B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7460D3B7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5EA6BDD3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03B52BAB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130E5FCD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7C698547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2543DBE2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68703031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40A67AD8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097602AC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0F940A7F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4C3828CD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p w14:paraId="7469C33A">
      <w:pPr>
        <w:ind w:right="152"/>
        <w:rPr>
          <w:rFonts w:hint="default" w:ascii="Times New Roman" w:hAnsi="Times New Roman" w:eastAsia="楷体" w:cs="Times New Roman"/>
          <w:b/>
          <w:color w:val="auto"/>
          <w:sz w:val="24"/>
          <w:szCs w:val="22"/>
          <w:highlight w:val="none"/>
        </w:rPr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6041F2-065B-4330-94A0-45237D4FA93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669E81-5203-44BB-A42B-6FCAD49DA3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9C0257-5287-435A-8930-61E9EB7A8F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D46825-C7D8-42F0-8E4F-73330BD850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C52592-6744-4F9D-8659-EC35085BFD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715"/>
    <w:rsid w:val="004D6899"/>
    <w:rsid w:val="00D05751"/>
    <w:rsid w:val="02581525"/>
    <w:rsid w:val="027077C6"/>
    <w:rsid w:val="02932388"/>
    <w:rsid w:val="030F6088"/>
    <w:rsid w:val="04C609C8"/>
    <w:rsid w:val="04FA2D68"/>
    <w:rsid w:val="05820A44"/>
    <w:rsid w:val="08FA6575"/>
    <w:rsid w:val="0AEE19DB"/>
    <w:rsid w:val="0C060244"/>
    <w:rsid w:val="0CE57E5A"/>
    <w:rsid w:val="0DAA2B11"/>
    <w:rsid w:val="0DB01163"/>
    <w:rsid w:val="0FE07956"/>
    <w:rsid w:val="1010343F"/>
    <w:rsid w:val="116A0D1F"/>
    <w:rsid w:val="118045F5"/>
    <w:rsid w:val="11E15093"/>
    <w:rsid w:val="1283439D"/>
    <w:rsid w:val="13076D7C"/>
    <w:rsid w:val="14301B0C"/>
    <w:rsid w:val="14467430"/>
    <w:rsid w:val="14551D69"/>
    <w:rsid w:val="145C4EA5"/>
    <w:rsid w:val="155618F4"/>
    <w:rsid w:val="157E70AA"/>
    <w:rsid w:val="173E6AE4"/>
    <w:rsid w:val="1A5D1977"/>
    <w:rsid w:val="1AE46C5E"/>
    <w:rsid w:val="1AFF658A"/>
    <w:rsid w:val="1CE76F73"/>
    <w:rsid w:val="1D3F7112"/>
    <w:rsid w:val="1D9A66DD"/>
    <w:rsid w:val="1DAD0DED"/>
    <w:rsid w:val="1E7079C7"/>
    <w:rsid w:val="1E997B54"/>
    <w:rsid w:val="1EDE26FD"/>
    <w:rsid w:val="1EE63371"/>
    <w:rsid w:val="212471FF"/>
    <w:rsid w:val="21C10A3D"/>
    <w:rsid w:val="21CD73E2"/>
    <w:rsid w:val="232C638A"/>
    <w:rsid w:val="23C640E9"/>
    <w:rsid w:val="240F5A90"/>
    <w:rsid w:val="254259F1"/>
    <w:rsid w:val="26B30D08"/>
    <w:rsid w:val="28754A8E"/>
    <w:rsid w:val="2A796A0E"/>
    <w:rsid w:val="2AAB228B"/>
    <w:rsid w:val="2CF06607"/>
    <w:rsid w:val="2D9D2B8B"/>
    <w:rsid w:val="2F0043E1"/>
    <w:rsid w:val="2F644883"/>
    <w:rsid w:val="32E64ECA"/>
    <w:rsid w:val="35577297"/>
    <w:rsid w:val="3575771D"/>
    <w:rsid w:val="38591578"/>
    <w:rsid w:val="38B62234"/>
    <w:rsid w:val="39203E44"/>
    <w:rsid w:val="39FF2828"/>
    <w:rsid w:val="3A282FB0"/>
    <w:rsid w:val="3A3951BD"/>
    <w:rsid w:val="3BCE7B87"/>
    <w:rsid w:val="3C410359"/>
    <w:rsid w:val="3C596F4C"/>
    <w:rsid w:val="3C926E07"/>
    <w:rsid w:val="3D632551"/>
    <w:rsid w:val="3E162499"/>
    <w:rsid w:val="3ED92D48"/>
    <w:rsid w:val="402204A1"/>
    <w:rsid w:val="405C4985"/>
    <w:rsid w:val="41A76EB0"/>
    <w:rsid w:val="43C5682A"/>
    <w:rsid w:val="44E346A3"/>
    <w:rsid w:val="46853538"/>
    <w:rsid w:val="46A460B4"/>
    <w:rsid w:val="47AF6ABF"/>
    <w:rsid w:val="483D056E"/>
    <w:rsid w:val="48E21116"/>
    <w:rsid w:val="48EE3617"/>
    <w:rsid w:val="493C0826"/>
    <w:rsid w:val="4A465B34"/>
    <w:rsid w:val="4A9B42A2"/>
    <w:rsid w:val="4ACA3C0F"/>
    <w:rsid w:val="4B58121B"/>
    <w:rsid w:val="4BA6467C"/>
    <w:rsid w:val="4C237A7B"/>
    <w:rsid w:val="4EA529C9"/>
    <w:rsid w:val="4EBD5F65"/>
    <w:rsid w:val="4F7D56F4"/>
    <w:rsid w:val="501C4F0D"/>
    <w:rsid w:val="503C3BFF"/>
    <w:rsid w:val="513149E8"/>
    <w:rsid w:val="51A76A58"/>
    <w:rsid w:val="522462FB"/>
    <w:rsid w:val="532C190B"/>
    <w:rsid w:val="53487DC7"/>
    <w:rsid w:val="53CE651E"/>
    <w:rsid w:val="53DE61DE"/>
    <w:rsid w:val="55E53FF3"/>
    <w:rsid w:val="58D106D3"/>
    <w:rsid w:val="5980662B"/>
    <w:rsid w:val="5A15422E"/>
    <w:rsid w:val="5AF2343A"/>
    <w:rsid w:val="5B4F263B"/>
    <w:rsid w:val="5B4F43E9"/>
    <w:rsid w:val="5B595267"/>
    <w:rsid w:val="5B81031A"/>
    <w:rsid w:val="5BC935DA"/>
    <w:rsid w:val="5CD66C9C"/>
    <w:rsid w:val="5D2E44D2"/>
    <w:rsid w:val="5D5201C0"/>
    <w:rsid w:val="5DEE4387"/>
    <w:rsid w:val="5E525F9E"/>
    <w:rsid w:val="604A1623"/>
    <w:rsid w:val="60854409"/>
    <w:rsid w:val="60A44399"/>
    <w:rsid w:val="60A52CFD"/>
    <w:rsid w:val="629923ED"/>
    <w:rsid w:val="635B58F5"/>
    <w:rsid w:val="652E01C4"/>
    <w:rsid w:val="683A5F02"/>
    <w:rsid w:val="690042CA"/>
    <w:rsid w:val="69D65839"/>
    <w:rsid w:val="6A843983"/>
    <w:rsid w:val="6B7E3F6B"/>
    <w:rsid w:val="6B873D35"/>
    <w:rsid w:val="6C323B8B"/>
    <w:rsid w:val="6C55074B"/>
    <w:rsid w:val="6C6E48EB"/>
    <w:rsid w:val="6F72024E"/>
    <w:rsid w:val="6FCD1928"/>
    <w:rsid w:val="70111815"/>
    <w:rsid w:val="70383246"/>
    <w:rsid w:val="70B054D2"/>
    <w:rsid w:val="711710AD"/>
    <w:rsid w:val="717E112C"/>
    <w:rsid w:val="73C2557F"/>
    <w:rsid w:val="74355EAC"/>
    <w:rsid w:val="75EB46E7"/>
    <w:rsid w:val="76602D7E"/>
    <w:rsid w:val="766345A1"/>
    <w:rsid w:val="7846533F"/>
    <w:rsid w:val="786D1EFA"/>
    <w:rsid w:val="78AA2807"/>
    <w:rsid w:val="79107734"/>
    <w:rsid w:val="792E51E6"/>
    <w:rsid w:val="79382508"/>
    <w:rsid w:val="7B761123"/>
    <w:rsid w:val="7BAA2FDB"/>
    <w:rsid w:val="7BB92F4D"/>
    <w:rsid w:val="7BD12170"/>
    <w:rsid w:val="7BFD3595"/>
    <w:rsid w:val="7C5B1D71"/>
    <w:rsid w:val="7C8D33DE"/>
    <w:rsid w:val="7CED7166"/>
    <w:rsid w:val="7D22064F"/>
    <w:rsid w:val="7D7E4262"/>
    <w:rsid w:val="7E682F48"/>
    <w:rsid w:val="7E730D4D"/>
    <w:rsid w:val="7F20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qFormat/>
    <w:uiPriority w:val="0"/>
    <w:pPr>
      <w:widowControl w:val="0"/>
      <w:spacing w:beforeLines="100"/>
      <w:jc w:val="center"/>
    </w:pPr>
    <w:rPr>
      <w:rFonts w:ascii="黑体" w:hAnsi="黑体" w:eastAsia="黑体" w:cs="宋体"/>
      <w:sz w:val="32"/>
      <w:szCs w:val="32"/>
      <w:lang w:eastAsia="zh-CN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eastAsia="宋体" w:cs="Times New Roman"/>
      <w:color w:val="auto"/>
      <w:kern w:val="2"/>
      <w:sz w:val="18"/>
      <w:szCs w:val="18"/>
      <w:lang w:eastAsia="zh-CN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40" w:lineRule="auto"/>
      <w:ind w:left="0" w:firstLine="200" w:firstLineChars="200"/>
      <w:jc w:val="center"/>
      <w:outlineLvl w:val="0"/>
    </w:pPr>
    <w:rPr>
      <w:rFonts w:asciiTheme="majorHAnsi" w:hAnsiTheme="majorHAnsi" w:eastAsiaTheme="majorEastAsia" w:cstheme="majorBidi"/>
      <w:b/>
      <w:bCs/>
      <w:color w:val="auto"/>
      <w:sz w:val="32"/>
      <w:szCs w:val="32"/>
    </w:rPr>
  </w:style>
  <w:style w:type="table" w:styleId="9">
    <w:name w:val="Table Grid"/>
    <w:basedOn w:val="8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正文文本 Char"/>
    <w:basedOn w:val="10"/>
    <w:link w:val="3"/>
    <w:semiHidden/>
    <w:qFormat/>
    <w:uiPriority w:val="0"/>
    <w:rPr>
      <w:rFonts w:ascii="黑体" w:hAnsi="黑体" w:eastAsia="黑体" w:cs="宋体"/>
      <w:snapToGrid w:val="0"/>
      <w:color w:val="000000"/>
      <w:sz w:val="32"/>
      <w:szCs w:val="32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4">
    <w:name w:val="页眉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其他_"/>
    <w:basedOn w:val="10"/>
    <w:link w:val="18"/>
    <w:qFormat/>
    <w:uiPriority w:val="0"/>
    <w:rPr>
      <w:rFonts w:ascii="黑体" w:hAnsi="黑体" w:eastAsia="黑体" w:cs="黑体"/>
      <w:sz w:val="32"/>
      <w:szCs w:val="32"/>
      <w:shd w:val="clear" w:color="auto" w:fill="FFFFFF"/>
      <w:lang w:val="zh-CN" w:bidi="zh-CN"/>
    </w:rPr>
  </w:style>
  <w:style w:type="paragraph" w:customStyle="1" w:styleId="18">
    <w:name w:val="其他"/>
    <w:basedOn w:val="1"/>
    <w:link w:val="17"/>
    <w:qFormat/>
    <w:uiPriority w:val="0"/>
    <w:pPr>
      <w:widowControl w:val="0"/>
      <w:shd w:val="clear" w:color="auto" w:fill="FFFFFF"/>
      <w:kinsoku/>
      <w:autoSpaceDE/>
      <w:autoSpaceDN/>
      <w:adjustRightInd/>
      <w:snapToGrid/>
      <w:textAlignment w:val="auto"/>
    </w:pPr>
    <w:rPr>
      <w:rFonts w:ascii="黑体" w:hAnsi="黑体" w:eastAsia="黑体" w:cs="黑体"/>
      <w:color w:val="auto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1003</Words>
  <Characters>1032</Characters>
  <Lines>1</Lines>
  <Paragraphs>1</Paragraphs>
  <TotalTime>0</TotalTime>
  <ScaleCrop>false</ScaleCrop>
  <LinksUpToDate>false</LinksUpToDate>
  <CharactersWithSpaces>1132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2024-03-23T16:41:00Z</dcterms:created>
  <dc:creator>Microsoft 帐户</dc:creator>
  <cp:lastModifiedBy>崔泽贤</cp:lastModifiedBy>
  <cp:lastPrinted>2025-04-01T08:56:00Z</cp:lastPrinted>
  <dcterms:modified xsi:type="dcterms:W3CDTF">2026-04-10T07:52:42Z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0590FC57D47A4C76AAD3843FCC171E20_13</vt:lpwstr>
  </property>
  <property fmtid="{D5CDD505-2E9C-101B-9397-08002B2CF9AE}" pid="4" name="KSOTemplateDocerSaveRecord">
    <vt:lpwstr>eyJoZGlkIjoiMmY2OGI1ZDUxMDcxZjU4ZmQxNDAwYjM0YWRlMTAyZjIiLCJ1c2VySWQiOiIzMDk5MzYzOTQifQ==</vt:lpwstr>
  </property>
</Properties>
</file>